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宋体" w:cs="Times New Roman"/>
          <w:b/>
          <w:sz w:val="24"/>
          <w:lang w:eastAsia="zh-CN"/>
        </w:rPr>
      </w:pPr>
      <w:r>
        <w:rPr>
          <w:rFonts w:hint="eastAsia"/>
          <w:lang w:val="en-US" w:eastAsia="zh-CN"/>
        </w:rPr>
        <w:t>DS</w:t>
      </w:r>
      <w:r>
        <w:rPr>
          <w:rFonts w:hint="eastAsia"/>
        </w:rPr>
        <w:t>-UVNO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  <w:lang w:val="en-US" w:eastAsia="zh-CN"/>
        </w:rPr>
        <w:t>9</w:t>
      </w:r>
      <w:r>
        <w:rPr>
          <w:rFonts w:hint="eastAsia"/>
        </w:rPr>
        <w:t>00</w:t>
      </w:r>
      <w:r>
        <w:t>光谱法</w:t>
      </w:r>
      <w:r>
        <w:rPr>
          <w:szCs w:val="36"/>
        </w:rPr>
        <w:t>硝氮</w:t>
      </w:r>
      <w:r>
        <w:rPr>
          <w:rFonts w:hint="eastAsia"/>
          <w:szCs w:val="36"/>
          <w:lang w:eastAsia="zh-CN"/>
        </w:rPr>
        <w:t>在线</w:t>
      </w:r>
      <w:r>
        <w:rPr>
          <w:szCs w:val="36"/>
        </w:rPr>
        <w:t>分析仪</w:t>
      </w:r>
    </w:p>
    <w:p>
      <w:pPr>
        <w:spacing w:line="360" w:lineRule="auto"/>
        <w:rPr>
          <w:rFonts w:hint="eastAsia" w:eastAsiaTheme="minorEastAsia"/>
          <w:b/>
          <w:sz w:val="24"/>
          <w:lang w:eastAsia="zh-CN"/>
        </w:rPr>
      </w:pPr>
      <w:r>
        <w:rPr>
          <w:rFonts w:ascii="宋体" w:hAnsi="宋体" w:cs="宋体"/>
          <w:color w:val="000000"/>
          <w:sz w:val="24"/>
        </w:rPr>
        <w:drawing>
          <wp:inline distT="0" distB="0" distL="114300" distR="114300">
            <wp:extent cx="1653540" cy="1803400"/>
            <wp:effectExtent l="0" t="0" r="7620" b="10160"/>
            <wp:docPr id="1" name="图片 1" descr="UNI200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NI200.25"/>
                    <pic:cNvPicPr>
                      <a:picLocks noChangeAspect="1"/>
                    </pic:cNvPicPr>
                  </pic:nvPicPr>
                  <pic:blipFill>
                    <a:blip r:embed="rId4"/>
                    <a:srcRect l="29575" r="20061" b="15147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sz w:val="24"/>
          <w:lang w:eastAsia="zh-CN"/>
        </w:rPr>
        <w:drawing>
          <wp:inline distT="0" distB="0" distL="114300" distR="114300">
            <wp:extent cx="2872740" cy="1859280"/>
            <wp:effectExtent l="0" t="0" r="0" b="0"/>
            <wp:docPr id="2" name="图片 2" descr="东升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东升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</w:rPr>
        <w:t>测量</w:t>
      </w:r>
      <w:r>
        <w:rPr>
          <w:b/>
          <w:sz w:val="24"/>
        </w:rPr>
        <w:t>原理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rFonts w:hint="eastAsia" w:ascii="宋体" w:hAnsi="宋体" w:cs="宋体"/>
          <w:sz w:val="24"/>
        </w:rPr>
        <w:t>在</w:t>
      </w:r>
      <w:r>
        <w:rPr>
          <w:sz w:val="24"/>
        </w:rPr>
        <w:t xml:space="preserve">210nm </w:t>
      </w:r>
      <w:r>
        <w:rPr>
          <w:rFonts w:hint="eastAsia" w:ascii="宋体" w:hAnsi="宋体" w:cs="宋体"/>
          <w:sz w:val="24"/>
        </w:rPr>
        <w:t>紫外光有吸收。探头工作时，水样流过狭缝，探头中光源发出的光穿过狭缝时，其中部分光被狭缝中流动的样品所吸收，其它的光则透过样品，到达探头另一侧检测器，计算出硝酸盐的浓度值。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功能</w:t>
      </w:r>
      <w:r>
        <w:rPr>
          <w:b/>
          <w:sz w:val="24"/>
        </w:rPr>
        <w:t>特点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探头直接浸入式测量，无需采样和预处理；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无需化学试剂，无二次污染；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响应时间短，可实现连续测量；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传感器具有自动清洗功能，可减少维护量；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使用简洁，结果可靠，界面操作指示可以减少操作失误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设置了可视化的警报系统提供重要的告警功能</w:t>
      </w:r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tabs>
          <w:tab w:val="left" w:pos="420"/>
        </w:tabs>
        <w:spacing w:line="360" w:lineRule="auto"/>
        <w:jc w:val="left"/>
        <w:rPr>
          <w:sz w:val="24"/>
        </w:rPr>
      </w:pPr>
      <w:r>
        <w:rPr>
          <w:sz w:val="24"/>
        </w:rPr>
        <w:t>控制器可以实现壁挂安装/面板安装/夹管安装。</w:t>
      </w:r>
    </w:p>
    <w:p>
      <w:pPr>
        <w:spacing w:line="360" w:lineRule="auto"/>
        <w:rPr>
          <w:b/>
          <w:sz w:val="24"/>
          <w:lang w:val="zh-CN"/>
        </w:rPr>
      </w:pPr>
      <w:r>
        <w:rPr>
          <w:b/>
          <w:sz w:val="24"/>
        </w:rPr>
        <w:t>典型应用</w:t>
      </w:r>
    </w:p>
    <w:p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饮用水 / 地表水/ 工业生产过程用水/ 污水处理等领域，连续监测溶解在水里的硝酸盐浓度值，特别适用监测污水曝气池，控制反硝化过程。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传感器</w:t>
      </w:r>
      <w:r>
        <w:rPr>
          <w:b/>
          <w:sz w:val="24"/>
        </w:rPr>
        <w:t>技术参数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测量范围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0.1～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0.0mg/L  ( 2mm</w:t>
            </w:r>
            <w:r>
              <w:rPr>
                <w:rFonts w:hint="eastAsia"/>
                <w:szCs w:val="21"/>
                <w:lang w:val="en-US" w:eastAsia="zh-CN"/>
              </w:rPr>
              <w:t>光程</w:t>
            </w:r>
            <w:r>
              <w:rPr>
                <w:szCs w:val="21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测量精度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± 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重复性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± 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分辨率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压力范围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≤0.4Mpa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传感器材质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机身：</w:t>
            </w:r>
            <w:r>
              <w:rPr>
                <w:spacing w:val="8"/>
                <w:w w:val="101"/>
                <w:kern w:val="0"/>
                <w:szCs w:val="21"/>
              </w:rPr>
              <w:t>SUS316L</w:t>
            </w:r>
            <w:r>
              <w:rPr>
                <w:szCs w:val="21"/>
              </w:rPr>
              <w:t>（普通版），钛合金（海水版）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>线缆：P</w:t>
            </w:r>
            <w:r>
              <w:rPr>
                <w:rFonts w:hint="eastAsia"/>
                <w:szCs w:val="21"/>
              </w:rPr>
              <w:t>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通讯协议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MODBUS  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存储温度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-15到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工作温度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0到4℃</w:t>
            </w:r>
            <w:r>
              <w:rPr>
                <w:rFonts w:hint="eastAsia"/>
                <w:szCs w:val="21"/>
              </w:rPr>
              <w:t>（不结冰）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尺寸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直径</w:t>
            </w:r>
            <w:r>
              <w:rPr>
                <w:szCs w:val="21"/>
              </w:rPr>
              <w:t>69mm</w:t>
            </w:r>
            <w:r>
              <w:rPr>
                <w:rFonts w:ascii="宋体" w:hAnsi="宋体" w:cs="宋体"/>
                <w:szCs w:val="21"/>
              </w:rPr>
              <w:t>*长度</w:t>
            </w:r>
            <w:r>
              <w:rPr>
                <w:rFonts w:hint="eastAsia"/>
                <w:szCs w:val="21"/>
                <w:lang w:val="en-US" w:eastAsia="zh-CN"/>
              </w:rPr>
              <w:t>365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重量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防护等级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IP68/NEMA6P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电缆长度</w:t>
            </w:r>
          </w:p>
        </w:tc>
        <w:tc>
          <w:tcPr>
            <w:tcW w:w="3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标配10米电缆，可延长</w:t>
            </w:r>
            <w:r>
              <w:rPr>
                <w:rFonts w:hint="eastAsia"/>
                <w:szCs w:val="21"/>
              </w:rPr>
              <w:t>至100米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Calibri" w:hAnsi="Calibri" w:eastAsia="宋体" w:cs="Times New Roman"/>
          <w:b/>
          <w:bCs/>
          <w:sz w:val="24"/>
        </w:rPr>
      </w:pPr>
      <w:r>
        <w:rPr>
          <w:rFonts w:ascii="Calibri" w:hAnsi="Calibri" w:eastAsia="宋体" w:cs="Times New Roman"/>
          <w:b/>
          <w:bCs/>
          <w:sz w:val="24"/>
        </w:rPr>
        <w:t>控制器</w:t>
      </w:r>
      <w:r>
        <w:rPr>
          <w:rFonts w:hint="eastAsia" w:ascii="Calibri" w:hAnsi="Calibri" w:eastAsia="宋体" w:cs="Times New Roman"/>
          <w:b/>
          <w:bCs/>
          <w:sz w:val="24"/>
        </w:rPr>
        <w:t>技术</w:t>
      </w:r>
      <w:r>
        <w:rPr>
          <w:rFonts w:ascii="Calibri" w:hAnsi="Calibri" w:eastAsia="宋体" w:cs="Times New Roman"/>
          <w:b/>
          <w:bCs/>
          <w:sz w:val="24"/>
        </w:rPr>
        <w:t>参数：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显示输出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128*64图形点阵液晶，带LED强背光可阳光直射下操作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电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>源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szCs w:val="21"/>
              </w:rPr>
              <w:t>交流供电：</w:t>
            </w:r>
            <w:r>
              <w:rPr>
                <w:rFonts w:hint="eastAsia"/>
                <w:szCs w:val="21"/>
              </w:rPr>
              <w:t>85-500</w:t>
            </w:r>
            <w:r>
              <w:rPr>
                <w:szCs w:val="21"/>
              </w:rPr>
              <w:t>VAC (50/60HZ)</w:t>
            </w:r>
            <w:r>
              <w:rPr>
                <w:rFonts w:hint="eastAsia"/>
                <w:szCs w:val="21"/>
              </w:rPr>
              <w:t>；</w:t>
            </w:r>
            <w:r>
              <w:rPr>
                <w:kern w:val="0"/>
                <w:szCs w:val="21"/>
              </w:rPr>
              <w:t>直流供电：9~36VDC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主要材料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PA66+GF25+FR（上盖）；铝合金喷粉（下壳）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输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>出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三</w:t>
            </w:r>
            <w:r>
              <w:rPr>
                <w:rFonts w:ascii="Calibri" w:hAnsi="Calibri" w:eastAsia="宋体" w:cs="Times New Roman"/>
                <w:szCs w:val="21"/>
              </w:rPr>
              <w:t>路4-20mA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继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>电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>器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三路继电器，程序设定响应参数及响应值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数字通信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配MODBUS RS485通信功能，可实时传输测量值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存储温度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-20到70℃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操作温度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-15到60℃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防水等级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IP65/NEMA4X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尺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>寸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145mm*125mm*162mm（长*宽*高）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8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szCs w:val="21"/>
              </w:rPr>
              <w:t>重</w:t>
            </w:r>
            <w:r>
              <w:rPr>
                <w:rFonts w:hint="eastAsia" w:ascii="Calibri" w:hAnsi="Calibri" w:eastAsia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>量</w:t>
            </w:r>
          </w:p>
        </w:tc>
        <w:tc>
          <w:tcPr>
            <w:tcW w:w="3912" w:type="pct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1.3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ascii="Calibri" w:hAnsi="Calibri" w:eastAsia="宋体" w:cs="Times New Roman"/>
                <w:szCs w:val="21"/>
              </w:rPr>
              <w:t>KG</w:t>
            </w:r>
          </w:p>
        </w:tc>
      </w:tr>
    </w:tbl>
    <w:p>
      <w:pPr>
        <w:rPr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576FF"/>
    <w:multiLevelType w:val="multilevel"/>
    <w:tmpl w:val="3F4576F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306627"/>
    <w:multiLevelType w:val="multilevel"/>
    <w:tmpl w:val="7D3066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xMGM0NjJlNDE0ZWQyYjkwOGZlNmQxMWU2NjlmMmEifQ=="/>
  </w:docVars>
  <w:rsids>
    <w:rsidRoot w:val="00D765DA"/>
    <w:rsid w:val="0036623A"/>
    <w:rsid w:val="00642A85"/>
    <w:rsid w:val="00652714"/>
    <w:rsid w:val="00706D48"/>
    <w:rsid w:val="00A24943"/>
    <w:rsid w:val="00BC29D0"/>
    <w:rsid w:val="00D765DA"/>
    <w:rsid w:val="00E9391E"/>
    <w:rsid w:val="0B304F88"/>
    <w:rsid w:val="12E57BFF"/>
    <w:rsid w:val="1A735B54"/>
    <w:rsid w:val="1B003619"/>
    <w:rsid w:val="1DDA1640"/>
    <w:rsid w:val="1E5B4AE9"/>
    <w:rsid w:val="43243433"/>
    <w:rsid w:val="467C09D5"/>
    <w:rsid w:val="57C43A56"/>
    <w:rsid w:val="692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100" w:after="100" w:line="360" w:lineRule="auto"/>
      <w:jc w:val="center"/>
      <w:outlineLvl w:val="1"/>
    </w:pPr>
    <w:rPr>
      <w:rFonts w:ascii="Times New Roman" w:hAnsi="Times New Roman" w:eastAsia="宋体" w:cs="Times New Roman"/>
      <w:b/>
      <w:sz w:val="36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Times New Roman" w:hAnsi="Times New Roman" w:eastAsia="宋体" w:cs="Times New Roman"/>
      <w:b/>
      <w:sz w:val="36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582</Words>
  <Characters>758</Characters>
  <Lines>6</Lines>
  <Paragraphs>1</Paragraphs>
  <TotalTime>1</TotalTime>
  <ScaleCrop>false</ScaleCrop>
  <LinksUpToDate>false</LinksUpToDate>
  <CharactersWithSpaces>794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2019-08-29T06:46:00Z</dcterms:created>
  <dc:creator>User</dc:creator>
  <cp:lastModifiedBy>东升环保～谭东</cp:lastModifiedBy>
  <dcterms:modified xsi:type="dcterms:W3CDTF">2023-04-03T09:38:11Z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591A0DE6417141AD84939B2BB3CC2A12</vt:lpwstr>
  </property>
</Properties>
</file>